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7D35" w14:textId="5010466F" w:rsidR="004964AC" w:rsidRPr="004964AC" w:rsidRDefault="004964AC" w:rsidP="00D87482">
      <w:pPr>
        <w:shd w:val="clear" w:color="auto" w:fill="FEFEFE"/>
        <w:spacing w:after="0" w:line="240" w:lineRule="auto"/>
        <w:jc w:val="center"/>
        <w:outlineLvl w:val="0"/>
        <w:rPr>
          <w:rFonts w:eastAsia="Times New Roman" w:cstheme="minorHAnsi"/>
          <w:b/>
          <w:bCs/>
          <w:color w:val="297FB7"/>
          <w:kern w:val="36"/>
          <w:sz w:val="44"/>
          <w:szCs w:val="44"/>
          <w:lang w:eastAsia="en-PH"/>
        </w:rPr>
      </w:pPr>
      <w:r w:rsidRPr="004964AC">
        <w:rPr>
          <w:rFonts w:eastAsia="Times New Roman" w:cstheme="minorHAnsi"/>
          <w:b/>
          <w:bCs/>
          <w:color w:val="297FB7"/>
          <w:kern w:val="36"/>
          <w:sz w:val="44"/>
          <w:szCs w:val="44"/>
          <w:lang w:eastAsia="en-PH"/>
        </w:rPr>
        <w:t>20</w:t>
      </w:r>
      <w:r w:rsidRPr="009D2247">
        <w:rPr>
          <w:rFonts w:eastAsia="Times New Roman" w:cstheme="minorHAnsi"/>
          <w:b/>
          <w:bCs/>
          <w:color w:val="297FB7"/>
          <w:kern w:val="36"/>
          <w:sz w:val="44"/>
          <w:szCs w:val="44"/>
          <w:lang w:eastAsia="en-PH"/>
        </w:rPr>
        <w:t>2</w:t>
      </w:r>
      <w:r w:rsidR="0065335B">
        <w:rPr>
          <w:rFonts w:eastAsia="Times New Roman" w:cstheme="minorHAnsi"/>
          <w:b/>
          <w:bCs/>
          <w:color w:val="297FB7"/>
          <w:kern w:val="36"/>
          <w:sz w:val="44"/>
          <w:szCs w:val="44"/>
          <w:lang w:eastAsia="en-PH"/>
        </w:rPr>
        <w:t>3</w:t>
      </w:r>
      <w:r w:rsidRPr="004964AC">
        <w:rPr>
          <w:rFonts w:eastAsia="Times New Roman" w:cstheme="minorHAnsi"/>
          <w:b/>
          <w:bCs/>
          <w:color w:val="297FB7"/>
          <w:kern w:val="36"/>
          <w:sz w:val="44"/>
          <w:szCs w:val="44"/>
          <w:lang w:eastAsia="en-PH"/>
        </w:rPr>
        <w:t xml:space="preserve"> PCC Long-term Research Program</w:t>
      </w:r>
    </w:p>
    <w:p w14:paraId="75930962" w14:textId="77777777" w:rsidR="004964AC" w:rsidRPr="004964AC" w:rsidRDefault="004964AC" w:rsidP="0046520E">
      <w:pPr>
        <w:shd w:val="clear" w:color="auto" w:fill="FEFEFE"/>
        <w:spacing w:after="0" w:line="240" w:lineRule="auto"/>
        <w:jc w:val="center"/>
        <w:outlineLvl w:val="1"/>
        <w:rPr>
          <w:rFonts w:eastAsia="Times New Roman" w:cstheme="minorHAnsi"/>
          <w:b/>
          <w:bCs/>
          <w:caps/>
          <w:color w:val="252525"/>
          <w:sz w:val="32"/>
          <w:szCs w:val="32"/>
          <w:lang w:eastAsia="en-PH"/>
        </w:rPr>
      </w:pPr>
      <w:r w:rsidRPr="004964AC">
        <w:rPr>
          <w:rFonts w:eastAsia="Times New Roman" w:cstheme="minorHAnsi"/>
          <w:b/>
          <w:bCs/>
          <w:caps/>
          <w:color w:val="252525"/>
          <w:sz w:val="32"/>
          <w:szCs w:val="32"/>
          <w:lang w:eastAsia="en-PH"/>
        </w:rPr>
        <w:t>CALL FOR PROPOSALS</w:t>
      </w:r>
    </w:p>
    <w:p w14:paraId="7D22756B" w14:textId="77777777" w:rsidR="0046520E" w:rsidRPr="009D2247" w:rsidRDefault="0046520E" w:rsidP="0046520E">
      <w:pPr>
        <w:pStyle w:val="ListParagraph"/>
        <w:shd w:val="clear" w:color="auto" w:fill="FEFEFE"/>
        <w:spacing w:after="0" w:line="240" w:lineRule="auto"/>
        <w:rPr>
          <w:rFonts w:eastAsia="Times New Roman" w:cstheme="minorHAnsi"/>
          <w:color w:val="252525"/>
          <w:lang w:eastAsia="en-PH"/>
        </w:rPr>
      </w:pPr>
    </w:p>
    <w:p w14:paraId="20FE660B" w14:textId="605377A9" w:rsidR="004964AC" w:rsidRPr="009D2247" w:rsidRDefault="004964AC" w:rsidP="0046520E">
      <w:pPr>
        <w:pStyle w:val="ListParagraph"/>
        <w:numPr>
          <w:ilvl w:val="0"/>
          <w:numId w:val="1"/>
        </w:numPr>
        <w:shd w:val="clear" w:color="auto" w:fill="FEFEFE"/>
        <w:spacing w:after="0" w:line="240" w:lineRule="auto"/>
        <w:rPr>
          <w:rFonts w:eastAsia="Times New Roman" w:cstheme="minorHAnsi"/>
          <w:color w:val="252525"/>
          <w:lang w:eastAsia="en-PH"/>
        </w:rPr>
      </w:pPr>
      <w:r w:rsidRPr="009D2247">
        <w:rPr>
          <w:rFonts w:eastAsia="Times New Roman" w:cstheme="minorHAnsi"/>
          <w:color w:val="252525"/>
          <w:lang w:eastAsia="en-PH"/>
        </w:rPr>
        <w:t>The Philippine Competition Commission (PCC) implements its PCC Long-term Research Program (PLRP) to advance research in the field of competition policy and law (CPL) in the Philippines. The program aims to encourage scholarly research to support merger and acquisition reviews, competition enforcement and advocacy initiatives of the PCC; fund research projects on CPL; and disseminate research findings that address competition issues especially from a developing country perspective.</w:t>
      </w:r>
    </w:p>
    <w:p w14:paraId="7FB865FD" w14:textId="77777777" w:rsidR="0046520E" w:rsidRPr="009D2247" w:rsidRDefault="0046520E" w:rsidP="0046520E">
      <w:pPr>
        <w:pStyle w:val="ListParagraph"/>
        <w:shd w:val="clear" w:color="auto" w:fill="FEFEFE"/>
        <w:spacing w:after="0" w:line="240" w:lineRule="auto"/>
        <w:rPr>
          <w:rFonts w:eastAsia="Times New Roman" w:cstheme="minorHAnsi"/>
          <w:color w:val="252525"/>
          <w:lang w:eastAsia="en-PH"/>
        </w:rPr>
      </w:pPr>
    </w:p>
    <w:p w14:paraId="5A9D6C7E" w14:textId="544EB7EA" w:rsidR="004964AC" w:rsidRPr="009D2247" w:rsidRDefault="004964AC" w:rsidP="0046520E">
      <w:pPr>
        <w:pStyle w:val="ListParagraph"/>
        <w:numPr>
          <w:ilvl w:val="0"/>
          <w:numId w:val="1"/>
        </w:numPr>
        <w:shd w:val="clear" w:color="auto" w:fill="FEFEFE"/>
        <w:spacing w:after="0" w:line="240" w:lineRule="auto"/>
        <w:rPr>
          <w:rFonts w:eastAsia="Times New Roman" w:cstheme="minorHAnsi"/>
          <w:color w:val="252525"/>
          <w:lang w:eastAsia="en-PH"/>
        </w:rPr>
      </w:pPr>
      <w:r w:rsidRPr="009D2247">
        <w:rPr>
          <w:rFonts w:eastAsia="Times New Roman" w:cstheme="minorHAnsi"/>
          <w:color w:val="252525"/>
          <w:lang w:eastAsia="en-PH"/>
        </w:rPr>
        <w:t xml:space="preserve">For its </w:t>
      </w:r>
      <w:r w:rsidR="003001C0">
        <w:rPr>
          <w:rFonts w:eastAsia="Times New Roman" w:cstheme="minorHAnsi"/>
          <w:color w:val="252525"/>
          <w:lang w:eastAsia="en-PH"/>
        </w:rPr>
        <w:t>4</w:t>
      </w:r>
      <w:r w:rsidR="003001C0" w:rsidRPr="003001C0">
        <w:rPr>
          <w:rFonts w:eastAsia="Times New Roman" w:cstheme="minorHAnsi"/>
          <w:color w:val="252525"/>
          <w:vertAlign w:val="superscript"/>
          <w:lang w:eastAsia="en-PH"/>
        </w:rPr>
        <w:t>th</w:t>
      </w:r>
      <w:r w:rsidR="003001C0">
        <w:rPr>
          <w:rFonts w:eastAsia="Times New Roman" w:cstheme="minorHAnsi"/>
          <w:color w:val="252525"/>
          <w:lang w:eastAsia="en-PH"/>
        </w:rPr>
        <w:t xml:space="preserve"> </w:t>
      </w:r>
      <w:r w:rsidRPr="009D2247">
        <w:rPr>
          <w:rFonts w:eastAsia="Times New Roman" w:cstheme="minorHAnsi"/>
          <w:color w:val="252525"/>
          <w:lang w:eastAsia="en-PH"/>
        </w:rPr>
        <w:t>year of implementation, PCC invites employees of the PCC and external researchers to submit proposals on any of the following areas of research: monitoring and impact assessment of PCC interventions, market and institutional design, and the priority areas and/or issues identified by the Commission for 202</w:t>
      </w:r>
      <w:r w:rsidR="003001C0">
        <w:rPr>
          <w:rFonts w:eastAsia="Times New Roman" w:cstheme="minorHAnsi"/>
          <w:color w:val="252525"/>
          <w:lang w:eastAsia="en-PH"/>
        </w:rPr>
        <w:t>3</w:t>
      </w:r>
      <w:r w:rsidRPr="009D2247">
        <w:rPr>
          <w:rFonts w:eastAsia="Times New Roman" w:cstheme="minorHAnsi"/>
          <w:color w:val="252525"/>
          <w:lang w:eastAsia="en-PH"/>
        </w:rPr>
        <w:t>.</w:t>
      </w:r>
    </w:p>
    <w:p w14:paraId="27390834" w14:textId="77777777" w:rsidR="0046520E" w:rsidRPr="009D2247" w:rsidRDefault="0046520E" w:rsidP="0046520E">
      <w:pPr>
        <w:pStyle w:val="ListParagraph"/>
        <w:rPr>
          <w:rFonts w:eastAsia="Times New Roman" w:cstheme="minorHAnsi"/>
          <w:color w:val="252525"/>
          <w:lang w:eastAsia="en-PH"/>
        </w:rPr>
      </w:pPr>
    </w:p>
    <w:p w14:paraId="580C0D2A" w14:textId="77777777" w:rsidR="0046520E" w:rsidRPr="009D2247" w:rsidRDefault="004964AC" w:rsidP="0046520E">
      <w:pPr>
        <w:shd w:val="clear" w:color="auto" w:fill="FEFEFE"/>
        <w:spacing w:after="0" w:line="240" w:lineRule="auto"/>
        <w:rPr>
          <w:rFonts w:eastAsia="Times New Roman" w:cstheme="minorHAnsi"/>
          <w:color w:val="252525"/>
          <w:lang w:eastAsia="en-PH"/>
        </w:rPr>
      </w:pPr>
      <w:r w:rsidRPr="004964AC">
        <w:rPr>
          <w:rFonts w:eastAsia="Times New Roman" w:cstheme="minorHAnsi"/>
          <w:b/>
          <w:bCs/>
          <w:color w:val="252525"/>
          <w:u w:val="single"/>
          <w:lang w:eastAsia="en-PH"/>
        </w:rPr>
        <w:t>Eligibility and funding</w:t>
      </w:r>
      <w:r w:rsidRPr="004964AC">
        <w:rPr>
          <w:rFonts w:eastAsia="Times New Roman" w:cstheme="minorHAnsi"/>
          <w:color w:val="252525"/>
          <w:lang w:eastAsia="en-PH"/>
        </w:rPr>
        <w:br/>
      </w:r>
    </w:p>
    <w:p w14:paraId="16301888" w14:textId="77777777" w:rsidR="0046520E" w:rsidRPr="009D2247" w:rsidRDefault="004964AC" w:rsidP="0046520E">
      <w:pPr>
        <w:pStyle w:val="ListParagraph"/>
        <w:numPr>
          <w:ilvl w:val="0"/>
          <w:numId w:val="1"/>
        </w:numPr>
        <w:shd w:val="clear" w:color="auto" w:fill="FEFEFE"/>
        <w:spacing w:after="0" w:line="240" w:lineRule="auto"/>
        <w:rPr>
          <w:rFonts w:eastAsia="Times New Roman" w:cstheme="minorHAnsi"/>
          <w:color w:val="252525"/>
          <w:lang w:eastAsia="en-PH"/>
        </w:rPr>
      </w:pPr>
      <w:r w:rsidRPr="009D2247">
        <w:rPr>
          <w:rFonts w:eastAsia="Times New Roman" w:cstheme="minorHAnsi"/>
          <w:color w:val="252525"/>
          <w:lang w:eastAsia="en-PH"/>
        </w:rPr>
        <w:t>The call for proposals is open to all employees of the PCC, and external researchers worldwide who are interested in collaborating with PCC on a research study. Each applicant team must include at least one PCC employee.</w:t>
      </w:r>
    </w:p>
    <w:p w14:paraId="384EE19D" w14:textId="77777777" w:rsidR="0046520E" w:rsidRPr="009D2247" w:rsidRDefault="0046520E" w:rsidP="0046520E">
      <w:pPr>
        <w:pStyle w:val="ListParagraph"/>
        <w:shd w:val="clear" w:color="auto" w:fill="FEFEFE"/>
        <w:spacing w:after="0" w:line="240" w:lineRule="auto"/>
        <w:rPr>
          <w:rFonts w:eastAsia="Times New Roman" w:cstheme="minorHAnsi"/>
          <w:color w:val="252525"/>
          <w:lang w:eastAsia="en-PH"/>
        </w:rPr>
      </w:pPr>
    </w:p>
    <w:p w14:paraId="1D49F203" w14:textId="77777777" w:rsidR="0046520E" w:rsidRPr="009D2247" w:rsidRDefault="004964AC" w:rsidP="0046520E">
      <w:pPr>
        <w:pStyle w:val="ListParagraph"/>
        <w:numPr>
          <w:ilvl w:val="0"/>
          <w:numId w:val="1"/>
        </w:numPr>
        <w:shd w:val="clear" w:color="auto" w:fill="FEFEFE"/>
        <w:spacing w:after="0" w:line="240" w:lineRule="auto"/>
        <w:rPr>
          <w:rFonts w:eastAsia="Times New Roman" w:cstheme="minorHAnsi"/>
          <w:color w:val="252525"/>
          <w:lang w:eastAsia="en-PH"/>
        </w:rPr>
      </w:pPr>
      <w:r w:rsidRPr="004964AC">
        <w:rPr>
          <w:rFonts w:eastAsia="Times New Roman" w:cstheme="minorHAnsi"/>
          <w:color w:val="252525"/>
          <w:lang w:eastAsia="en-PH"/>
        </w:rPr>
        <w:t>Each proposal selected for support shall receive a funding of up to PHP 1 Million to cover the cost of data gathering, hiring of research assistants, presentation in conferences, and other research-related activities.</w:t>
      </w:r>
    </w:p>
    <w:p w14:paraId="38D63189" w14:textId="77777777" w:rsidR="0046520E" w:rsidRPr="009D2247" w:rsidRDefault="0046520E" w:rsidP="0046520E">
      <w:pPr>
        <w:pStyle w:val="ListParagraph"/>
        <w:spacing w:after="0" w:line="240" w:lineRule="auto"/>
        <w:rPr>
          <w:rFonts w:eastAsia="Times New Roman" w:cstheme="minorHAnsi"/>
          <w:color w:val="252525"/>
          <w:lang w:eastAsia="en-PH"/>
        </w:rPr>
      </w:pPr>
    </w:p>
    <w:p w14:paraId="2F883501" w14:textId="59D7F21E" w:rsidR="0046520E" w:rsidRPr="009D2247" w:rsidRDefault="004964AC" w:rsidP="0046520E">
      <w:pPr>
        <w:pStyle w:val="ListParagraph"/>
        <w:numPr>
          <w:ilvl w:val="0"/>
          <w:numId w:val="1"/>
        </w:numPr>
        <w:shd w:val="clear" w:color="auto" w:fill="FEFEFE"/>
        <w:spacing w:after="0" w:line="240" w:lineRule="auto"/>
        <w:rPr>
          <w:rFonts w:eastAsia="Times New Roman" w:cstheme="minorHAnsi"/>
          <w:color w:val="252525"/>
          <w:lang w:eastAsia="en-PH"/>
        </w:rPr>
      </w:pPr>
      <w:r w:rsidRPr="009D2247">
        <w:rPr>
          <w:rFonts w:eastAsia="Times New Roman" w:cstheme="minorHAnsi"/>
          <w:color w:val="252525"/>
          <w:lang w:eastAsia="en-PH"/>
        </w:rPr>
        <w:t xml:space="preserve">Final research projects must be completed </w:t>
      </w:r>
      <w:r w:rsidR="0046520E" w:rsidRPr="009D2247">
        <w:rPr>
          <w:rFonts w:eastAsia="Times New Roman" w:cstheme="minorHAnsi"/>
          <w:color w:val="252525"/>
          <w:lang w:eastAsia="en-PH"/>
        </w:rPr>
        <w:t xml:space="preserve">within </w:t>
      </w:r>
      <w:r w:rsidR="00D95225" w:rsidRPr="009D2247">
        <w:rPr>
          <w:rFonts w:eastAsia="Times New Roman" w:cstheme="minorHAnsi"/>
          <w:color w:val="252525"/>
          <w:lang w:eastAsia="en-PH"/>
        </w:rPr>
        <w:t>36</w:t>
      </w:r>
      <w:r w:rsidR="0046520E" w:rsidRPr="009D2247">
        <w:rPr>
          <w:rFonts w:eastAsia="Times New Roman" w:cstheme="minorHAnsi"/>
          <w:color w:val="252525"/>
          <w:lang w:eastAsia="en-PH"/>
        </w:rPr>
        <w:t xml:space="preserve"> months from the date of the grant.</w:t>
      </w:r>
    </w:p>
    <w:p w14:paraId="20E4CFE8" w14:textId="77777777" w:rsidR="0046520E" w:rsidRPr="009D2247" w:rsidRDefault="0046520E" w:rsidP="0046520E">
      <w:pPr>
        <w:shd w:val="clear" w:color="auto" w:fill="FEFEFE"/>
        <w:spacing w:after="0" w:line="240" w:lineRule="auto"/>
        <w:rPr>
          <w:rFonts w:eastAsia="Times New Roman" w:cstheme="minorHAnsi"/>
          <w:b/>
          <w:bCs/>
          <w:color w:val="252525"/>
          <w:u w:val="single"/>
          <w:lang w:eastAsia="en-PH"/>
        </w:rPr>
      </w:pPr>
    </w:p>
    <w:p w14:paraId="51CD1003" w14:textId="76A4873B" w:rsidR="0046520E" w:rsidRPr="009D2247" w:rsidRDefault="004964AC" w:rsidP="0046520E">
      <w:pPr>
        <w:shd w:val="clear" w:color="auto" w:fill="FEFEFE"/>
        <w:spacing w:after="0" w:line="240" w:lineRule="auto"/>
        <w:rPr>
          <w:rFonts w:eastAsia="Times New Roman" w:cstheme="minorHAnsi"/>
          <w:color w:val="252525"/>
          <w:lang w:eastAsia="en-PH"/>
        </w:rPr>
      </w:pPr>
      <w:r w:rsidRPr="004964AC">
        <w:rPr>
          <w:rFonts w:eastAsia="Times New Roman" w:cstheme="minorHAnsi"/>
          <w:b/>
          <w:bCs/>
          <w:color w:val="252525"/>
          <w:u w:val="single"/>
          <w:lang w:eastAsia="en-PH"/>
        </w:rPr>
        <w:t>Application</w:t>
      </w:r>
      <w:r w:rsidRPr="004964AC">
        <w:rPr>
          <w:rFonts w:eastAsia="Times New Roman" w:cstheme="minorHAnsi"/>
          <w:color w:val="252525"/>
          <w:lang w:eastAsia="en-PH"/>
        </w:rPr>
        <w:br/>
      </w:r>
    </w:p>
    <w:p w14:paraId="2F2FD535" w14:textId="5F0367AD" w:rsidR="004964AC" w:rsidRPr="009D2247" w:rsidRDefault="004964AC" w:rsidP="008950A6">
      <w:pPr>
        <w:pStyle w:val="ListParagraph"/>
        <w:numPr>
          <w:ilvl w:val="0"/>
          <w:numId w:val="1"/>
        </w:numPr>
        <w:shd w:val="clear" w:color="auto" w:fill="FEFEFE"/>
        <w:spacing w:after="0" w:line="240" w:lineRule="auto"/>
        <w:rPr>
          <w:rFonts w:eastAsia="Times New Roman" w:cstheme="minorHAnsi"/>
          <w:color w:val="252525"/>
          <w:lang w:eastAsia="en-PH"/>
        </w:rPr>
      </w:pPr>
      <w:r w:rsidRPr="009D2247">
        <w:rPr>
          <w:rFonts w:eastAsia="Times New Roman" w:cstheme="minorHAnsi"/>
          <w:color w:val="252525"/>
          <w:lang w:eastAsia="en-PH"/>
        </w:rPr>
        <w:t>All applicants are required to complete the </w:t>
      </w:r>
      <w:r w:rsidRPr="009D2247">
        <w:rPr>
          <w:rFonts w:eastAsia="Times New Roman" w:cstheme="minorHAnsi"/>
          <w:color w:val="2BA6CB"/>
          <w:u w:val="single"/>
          <w:lang w:eastAsia="en-PH"/>
        </w:rPr>
        <w:t>Project Proposal Form</w:t>
      </w:r>
      <w:r w:rsidRPr="009D2247">
        <w:rPr>
          <w:rFonts w:eastAsia="Times New Roman" w:cstheme="minorHAnsi"/>
          <w:color w:val="252525"/>
          <w:lang w:eastAsia="en-PH"/>
        </w:rPr>
        <w:t> and submit the application by </w:t>
      </w:r>
      <w:r w:rsidRPr="009D2247">
        <w:rPr>
          <w:rFonts w:eastAsia="Times New Roman" w:cstheme="minorHAnsi"/>
          <w:color w:val="252525"/>
          <w:u w:val="single"/>
          <w:lang w:eastAsia="en-PH"/>
        </w:rPr>
        <w:t xml:space="preserve">5 pm Manila time, </w:t>
      </w:r>
      <w:r w:rsidR="009F434E">
        <w:rPr>
          <w:rFonts w:eastAsia="Times New Roman" w:cstheme="minorHAnsi"/>
          <w:color w:val="252525"/>
          <w:u w:val="single"/>
          <w:lang w:eastAsia="en-PH"/>
        </w:rPr>
        <w:t>31</w:t>
      </w:r>
      <w:r w:rsidR="008950A6" w:rsidRPr="009D2247">
        <w:rPr>
          <w:rFonts w:eastAsia="Times New Roman" w:cstheme="minorHAnsi"/>
          <w:color w:val="252525"/>
          <w:u w:val="single"/>
          <w:lang w:eastAsia="en-PH"/>
        </w:rPr>
        <w:t xml:space="preserve"> </w:t>
      </w:r>
      <w:r w:rsidR="0040474C">
        <w:rPr>
          <w:rFonts w:eastAsia="Times New Roman" w:cstheme="minorHAnsi"/>
          <w:color w:val="252525"/>
          <w:u w:val="single"/>
          <w:lang w:eastAsia="en-PH"/>
        </w:rPr>
        <w:t>March</w:t>
      </w:r>
      <w:r w:rsidR="008950A6" w:rsidRPr="009D2247">
        <w:rPr>
          <w:rFonts w:eastAsia="Times New Roman" w:cstheme="minorHAnsi"/>
          <w:color w:val="252525"/>
          <w:u w:val="single"/>
          <w:lang w:eastAsia="en-PH"/>
        </w:rPr>
        <w:t xml:space="preserve"> </w:t>
      </w:r>
      <w:r w:rsidRPr="009D2247">
        <w:rPr>
          <w:rFonts w:eastAsia="Times New Roman" w:cstheme="minorHAnsi"/>
          <w:color w:val="252525"/>
          <w:u w:val="single"/>
          <w:lang w:eastAsia="en-PH"/>
        </w:rPr>
        <w:t>20</w:t>
      </w:r>
      <w:r w:rsidR="008950A6" w:rsidRPr="009D2247">
        <w:rPr>
          <w:rFonts w:eastAsia="Times New Roman" w:cstheme="minorHAnsi"/>
          <w:color w:val="252525"/>
          <w:u w:val="single"/>
          <w:lang w:eastAsia="en-PH"/>
        </w:rPr>
        <w:t>2</w:t>
      </w:r>
      <w:r w:rsidR="00FA1B8F">
        <w:rPr>
          <w:rFonts w:eastAsia="Times New Roman" w:cstheme="minorHAnsi"/>
          <w:color w:val="252525"/>
          <w:u w:val="single"/>
          <w:lang w:eastAsia="en-PH"/>
        </w:rPr>
        <w:t>3</w:t>
      </w:r>
      <w:r w:rsidRPr="009D2247">
        <w:rPr>
          <w:rFonts w:eastAsia="Times New Roman" w:cstheme="minorHAnsi"/>
          <w:color w:val="252525"/>
          <w:lang w:eastAsia="en-PH"/>
        </w:rPr>
        <w:t>. Please refer to the </w:t>
      </w:r>
      <w:r w:rsidRPr="009D2247">
        <w:rPr>
          <w:rFonts w:eastAsia="Times New Roman" w:cstheme="minorHAnsi"/>
          <w:color w:val="2BA6CB"/>
          <w:u w:val="single"/>
          <w:lang w:eastAsia="en-PH"/>
        </w:rPr>
        <w:t>PLRP Guidelines on Research Support</w:t>
      </w:r>
      <w:r w:rsidRPr="009D2247">
        <w:rPr>
          <w:rFonts w:eastAsia="Times New Roman" w:cstheme="minorHAnsi"/>
          <w:color w:val="252525"/>
          <w:lang w:eastAsia="en-PH"/>
        </w:rPr>
        <w:t> for more details on the application and evaluation of proposals.</w:t>
      </w:r>
    </w:p>
    <w:p w14:paraId="00A3ADFC" w14:textId="77777777" w:rsidR="008950A6" w:rsidRPr="009D2247" w:rsidRDefault="008950A6" w:rsidP="0046520E">
      <w:pPr>
        <w:shd w:val="clear" w:color="auto" w:fill="FEFEFE"/>
        <w:spacing w:after="0" w:line="240" w:lineRule="auto"/>
        <w:rPr>
          <w:rFonts w:eastAsia="Times New Roman" w:cstheme="minorHAnsi"/>
          <w:color w:val="252525"/>
          <w:lang w:eastAsia="en-PH"/>
        </w:rPr>
      </w:pPr>
    </w:p>
    <w:p w14:paraId="59131EC1" w14:textId="5782C095" w:rsidR="004964AC" w:rsidRPr="009D2247" w:rsidRDefault="004964AC" w:rsidP="008950A6">
      <w:pPr>
        <w:pStyle w:val="ListParagraph"/>
        <w:numPr>
          <w:ilvl w:val="0"/>
          <w:numId w:val="1"/>
        </w:numPr>
        <w:shd w:val="clear" w:color="auto" w:fill="FEFEFE"/>
        <w:spacing w:after="0" w:line="240" w:lineRule="auto"/>
        <w:rPr>
          <w:rFonts w:eastAsia="Times New Roman" w:cstheme="minorHAnsi"/>
          <w:color w:val="252525"/>
          <w:lang w:eastAsia="en-PH"/>
        </w:rPr>
      </w:pPr>
      <w:r w:rsidRPr="009D2247">
        <w:rPr>
          <w:rFonts w:eastAsia="Times New Roman" w:cstheme="minorHAnsi"/>
          <w:color w:val="252525"/>
          <w:lang w:eastAsia="en-PH"/>
        </w:rPr>
        <w:t>The completed Project Proposal Form, and a cover letter addressed to the Executive Director must be submitted via email with subject “PLRP Project Proposal 20</w:t>
      </w:r>
      <w:r w:rsidR="008950A6" w:rsidRPr="009D2247">
        <w:rPr>
          <w:rFonts w:eastAsia="Times New Roman" w:cstheme="minorHAnsi"/>
          <w:color w:val="252525"/>
          <w:lang w:eastAsia="en-PH"/>
        </w:rPr>
        <w:t>2</w:t>
      </w:r>
      <w:r w:rsidR="00B062EE">
        <w:rPr>
          <w:rFonts w:eastAsia="Times New Roman" w:cstheme="minorHAnsi"/>
          <w:color w:val="252525"/>
          <w:lang w:eastAsia="en-PH"/>
        </w:rPr>
        <w:t>3</w:t>
      </w:r>
      <w:r w:rsidRPr="009D2247">
        <w:rPr>
          <w:rFonts w:eastAsia="Times New Roman" w:cstheme="minorHAnsi"/>
          <w:color w:val="252525"/>
          <w:lang w:eastAsia="en-PH"/>
        </w:rPr>
        <w:t xml:space="preserve">”. </w:t>
      </w:r>
      <w:r w:rsidR="008950A6" w:rsidRPr="009D2247">
        <w:rPr>
          <w:rFonts w:eastAsia="Times New Roman" w:cstheme="minorHAnsi"/>
          <w:color w:val="252525"/>
          <w:lang w:eastAsia="en-PH"/>
        </w:rPr>
        <w:t xml:space="preserve">The printed copy </w:t>
      </w:r>
      <w:r w:rsidRPr="009D2247">
        <w:rPr>
          <w:rFonts w:eastAsia="Times New Roman" w:cstheme="minorHAnsi"/>
          <w:color w:val="252525"/>
          <w:lang w:eastAsia="en-PH"/>
        </w:rPr>
        <w:t>of the cover letter and the completed Project Proposal Form m</w:t>
      </w:r>
      <w:r w:rsidR="008950A6" w:rsidRPr="009D2247">
        <w:rPr>
          <w:rFonts w:eastAsia="Times New Roman" w:cstheme="minorHAnsi"/>
          <w:color w:val="252525"/>
          <w:lang w:eastAsia="en-PH"/>
        </w:rPr>
        <w:t>ay</w:t>
      </w:r>
      <w:r w:rsidRPr="009D2247">
        <w:rPr>
          <w:rFonts w:eastAsia="Times New Roman" w:cstheme="minorHAnsi"/>
          <w:color w:val="252525"/>
          <w:lang w:eastAsia="en-PH"/>
        </w:rPr>
        <w:t xml:space="preserve"> be sent to the following address:</w:t>
      </w:r>
    </w:p>
    <w:p w14:paraId="1250A168" w14:textId="77777777" w:rsidR="008950A6" w:rsidRPr="004964AC" w:rsidRDefault="008950A6" w:rsidP="0046520E">
      <w:pPr>
        <w:shd w:val="clear" w:color="auto" w:fill="FEFEFE"/>
        <w:spacing w:after="0" w:line="240" w:lineRule="auto"/>
        <w:rPr>
          <w:rFonts w:eastAsia="Times New Roman" w:cstheme="minorHAnsi"/>
          <w:color w:val="252525"/>
          <w:lang w:eastAsia="en-PH"/>
        </w:rPr>
      </w:pPr>
    </w:p>
    <w:p w14:paraId="4D8FBD69" w14:textId="77777777" w:rsidR="004964AC" w:rsidRPr="004964AC" w:rsidRDefault="004964AC" w:rsidP="0046520E">
      <w:pPr>
        <w:shd w:val="clear" w:color="auto" w:fill="FEFEFE"/>
        <w:spacing w:after="0" w:line="240" w:lineRule="auto"/>
        <w:rPr>
          <w:rFonts w:eastAsia="Times New Roman" w:cstheme="minorHAnsi"/>
          <w:color w:val="252525"/>
          <w:lang w:eastAsia="en-PH"/>
        </w:rPr>
      </w:pPr>
      <w:r w:rsidRPr="004964AC">
        <w:rPr>
          <w:rFonts w:eastAsia="Times New Roman" w:cstheme="minorHAnsi"/>
          <w:b/>
          <w:bCs/>
          <w:color w:val="252525"/>
          <w:lang w:eastAsia="en-PH"/>
        </w:rPr>
        <w:t>Office of the Executive Director</w:t>
      </w:r>
      <w:r w:rsidRPr="004964AC">
        <w:rPr>
          <w:rFonts w:eastAsia="Times New Roman" w:cstheme="minorHAnsi"/>
          <w:color w:val="252525"/>
          <w:lang w:eastAsia="en-PH"/>
        </w:rPr>
        <w:br/>
        <w:t>Philippine Competition Commission</w:t>
      </w:r>
      <w:r w:rsidRPr="004964AC">
        <w:rPr>
          <w:rFonts w:eastAsia="Times New Roman" w:cstheme="minorHAnsi"/>
          <w:color w:val="252525"/>
          <w:lang w:eastAsia="en-PH"/>
        </w:rPr>
        <w:br/>
        <w:t>25th Floor Vertis North Corporate Center</w:t>
      </w:r>
      <w:r w:rsidRPr="004964AC">
        <w:rPr>
          <w:rFonts w:eastAsia="Times New Roman" w:cstheme="minorHAnsi"/>
          <w:color w:val="252525"/>
          <w:lang w:eastAsia="en-PH"/>
        </w:rPr>
        <w:br/>
        <w:t>Quezon City</w:t>
      </w:r>
      <w:r w:rsidRPr="004964AC">
        <w:rPr>
          <w:rFonts w:eastAsia="Times New Roman" w:cstheme="minorHAnsi"/>
          <w:color w:val="252525"/>
          <w:lang w:eastAsia="en-PH"/>
        </w:rPr>
        <w:br/>
        <w:t>Tel. No: (+632) 771 9722</w:t>
      </w:r>
      <w:r w:rsidRPr="004964AC">
        <w:rPr>
          <w:rFonts w:eastAsia="Times New Roman" w:cstheme="minorHAnsi"/>
          <w:color w:val="252525"/>
          <w:lang w:eastAsia="en-PH"/>
        </w:rPr>
        <w:br/>
        <w:t>Email: oed@phcc.gov.ph</w:t>
      </w:r>
    </w:p>
    <w:p w14:paraId="6C77ED9D" w14:textId="77777777" w:rsidR="00B455DD" w:rsidRPr="009D2247" w:rsidRDefault="00B455DD" w:rsidP="0046520E">
      <w:pPr>
        <w:spacing w:after="0" w:line="240" w:lineRule="auto"/>
        <w:rPr>
          <w:rFonts w:cstheme="minorHAnsi"/>
          <w:sz w:val="20"/>
          <w:szCs w:val="20"/>
        </w:rPr>
      </w:pPr>
    </w:p>
    <w:sectPr w:rsidR="00B455DD" w:rsidRPr="009D22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D5877"/>
    <w:multiLevelType w:val="hybridMultilevel"/>
    <w:tmpl w:val="122A582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01642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AC"/>
    <w:rsid w:val="00085B69"/>
    <w:rsid w:val="003001C0"/>
    <w:rsid w:val="0040474C"/>
    <w:rsid w:val="0046520E"/>
    <w:rsid w:val="004964AC"/>
    <w:rsid w:val="0065335B"/>
    <w:rsid w:val="008950A6"/>
    <w:rsid w:val="009D2247"/>
    <w:rsid w:val="009F434E"/>
    <w:rsid w:val="00B062EE"/>
    <w:rsid w:val="00B455DD"/>
    <w:rsid w:val="00D87482"/>
    <w:rsid w:val="00D95225"/>
    <w:rsid w:val="00FA1B8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5F7A"/>
  <w15:chartTrackingRefBased/>
  <w15:docId w15:val="{AAF117EE-19A3-41B7-A270-79CC9135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6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paragraph" w:styleId="Heading2">
    <w:name w:val="heading 2"/>
    <w:basedOn w:val="Normal"/>
    <w:link w:val="Heading2Char"/>
    <w:uiPriority w:val="9"/>
    <w:qFormat/>
    <w:rsid w:val="004964A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4AC"/>
    <w:rPr>
      <w:rFonts w:ascii="Times New Roman" w:eastAsia="Times New Roman" w:hAnsi="Times New Roman" w:cs="Times New Roman"/>
      <w:b/>
      <w:bCs/>
      <w:kern w:val="36"/>
      <w:sz w:val="48"/>
      <w:szCs w:val="48"/>
      <w:lang w:eastAsia="en-PH"/>
    </w:rPr>
  </w:style>
  <w:style w:type="character" w:customStyle="1" w:styleId="Heading2Char">
    <w:name w:val="Heading 2 Char"/>
    <w:basedOn w:val="DefaultParagraphFont"/>
    <w:link w:val="Heading2"/>
    <w:uiPriority w:val="9"/>
    <w:rsid w:val="004964AC"/>
    <w:rPr>
      <w:rFonts w:ascii="Times New Roman" w:eastAsia="Times New Roman" w:hAnsi="Times New Roman" w:cs="Times New Roman"/>
      <w:b/>
      <w:bCs/>
      <w:sz w:val="36"/>
      <w:szCs w:val="36"/>
      <w:lang w:eastAsia="en-PH"/>
    </w:rPr>
  </w:style>
  <w:style w:type="paragraph" w:styleId="NormalWeb">
    <w:name w:val="Normal (Web)"/>
    <w:basedOn w:val="Normal"/>
    <w:uiPriority w:val="99"/>
    <w:semiHidden/>
    <w:unhideWhenUsed/>
    <w:rsid w:val="004964AC"/>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4964AC"/>
    <w:rPr>
      <w:b/>
      <w:bCs/>
    </w:rPr>
  </w:style>
  <w:style w:type="character" w:styleId="Hyperlink">
    <w:name w:val="Hyperlink"/>
    <w:basedOn w:val="DefaultParagraphFont"/>
    <w:uiPriority w:val="99"/>
    <w:semiHidden/>
    <w:unhideWhenUsed/>
    <w:rsid w:val="004964AC"/>
    <w:rPr>
      <w:color w:val="0000FF"/>
      <w:u w:val="single"/>
    </w:rPr>
  </w:style>
  <w:style w:type="paragraph" w:styleId="ListParagraph">
    <w:name w:val="List Paragraph"/>
    <w:basedOn w:val="Normal"/>
    <w:uiPriority w:val="34"/>
    <w:qFormat/>
    <w:rsid w:val="00496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23574">
      <w:bodyDiv w:val="1"/>
      <w:marLeft w:val="0"/>
      <w:marRight w:val="0"/>
      <w:marTop w:val="0"/>
      <w:marBottom w:val="0"/>
      <w:divBdr>
        <w:top w:val="none" w:sz="0" w:space="0" w:color="auto"/>
        <w:left w:val="none" w:sz="0" w:space="0" w:color="auto"/>
        <w:bottom w:val="none" w:sz="0" w:space="0" w:color="auto"/>
        <w:right w:val="none" w:sz="0" w:space="0" w:color="auto"/>
      </w:divBdr>
      <w:divsChild>
        <w:div w:id="1647050817">
          <w:marLeft w:val="0"/>
          <w:marRight w:val="0"/>
          <w:marTop w:val="0"/>
          <w:marBottom w:val="0"/>
          <w:divBdr>
            <w:top w:val="none" w:sz="0" w:space="0" w:color="auto"/>
            <w:left w:val="none" w:sz="0" w:space="0" w:color="auto"/>
            <w:bottom w:val="none" w:sz="0" w:space="0" w:color="auto"/>
            <w:right w:val="none" w:sz="0" w:space="0" w:color="auto"/>
          </w:divBdr>
          <w:divsChild>
            <w:div w:id="86074174">
              <w:marLeft w:val="0"/>
              <w:marRight w:val="0"/>
              <w:marTop w:val="0"/>
              <w:marBottom w:val="0"/>
              <w:divBdr>
                <w:top w:val="none" w:sz="0" w:space="0" w:color="auto"/>
                <w:left w:val="none" w:sz="0" w:space="0" w:color="auto"/>
                <w:bottom w:val="none" w:sz="0" w:space="0" w:color="auto"/>
                <w:right w:val="none" w:sz="0" w:space="0" w:color="auto"/>
              </w:divBdr>
              <w:divsChild>
                <w:div w:id="11590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6372">
          <w:marLeft w:val="0"/>
          <w:marRight w:val="0"/>
          <w:marTop w:val="0"/>
          <w:marBottom w:val="0"/>
          <w:divBdr>
            <w:top w:val="none" w:sz="0" w:space="0" w:color="auto"/>
            <w:left w:val="none" w:sz="0" w:space="0" w:color="auto"/>
            <w:bottom w:val="none" w:sz="0" w:space="0" w:color="auto"/>
            <w:right w:val="none" w:sz="0" w:space="0" w:color="auto"/>
          </w:divBdr>
          <w:divsChild>
            <w:div w:id="1057390410">
              <w:marLeft w:val="0"/>
              <w:marRight w:val="0"/>
              <w:marTop w:val="0"/>
              <w:marBottom w:val="0"/>
              <w:divBdr>
                <w:top w:val="none" w:sz="0" w:space="0" w:color="auto"/>
                <w:left w:val="none" w:sz="0" w:space="0" w:color="auto"/>
                <w:bottom w:val="none" w:sz="0" w:space="0" w:color="auto"/>
                <w:right w:val="none" w:sz="0" w:space="0" w:color="auto"/>
              </w:divBdr>
              <w:divsChild>
                <w:div w:id="240219089">
                  <w:marLeft w:val="0"/>
                  <w:marRight w:val="0"/>
                  <w:marTop w:val="0"/>
                  <w:marBottom w:val="0"/>
                  <w:divBdr>
                    <w:top w:val="none" w:sz="0" w:space="0" w:color="auto"/>
                    <w:left w:val="none" w:sz="0" w:space="0" w:color="auto"/>
                    <w:bottom w:val="none" w:sz="0" w:space="0" w:color="auto"/>
                    <w:right w:val="none" w:sz="0" w:space="0" w:color="auto"/>
                  </w:divBdr>
                  <w:divsChild>
                    <w:div w:id="12186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E. Radoc Jr</dc:creator>
  <cp:keywords/>
  <dc:description/>
  <cp:lastModifiedBy>Benjamin E. Radoc Jr</cp:lastModifiedBy>
  <cp:revision>8</cp:revision>
  <dcterms:created xsi:type="dcterms:W3CDTF">2023-03-02T06:11:00Z</dcterms:created>
  <dcterms:modified xsi:type="dcterms:W3CDTF">2023-03-02T14:29:00Z</dcterms:modified>
</cp:coreProperties>
</file>